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100"/>
      </w:pPr>
      <w:r>
        <w:t>Smart Nigeria Initiative</w:t>
      </w:r>
    </w:p>
    <w:p>
      <w:pPr>
        <w:pStyle w:val="Subtitle"/>
      </w:pPr>
      <w:r>
        <w:t>Concept Note and Comprehensive Framework</w:t>
      </w:r>
    </w:p>
    <w:p>
      <w:r>
        <w:t>October 2026  |  Version 1.0</w:t>
      </w:r>
    </w:p>
    <w:p>
      <w:r>
        <w:rPr>
          <w:b/>
        </w:rPr>
        <w:t>Purpose</w:t>
      </w:r>
    </w:p>
    <w:p>
      <w:r>
        <w:t>This document establishes the purpose, programme architecture and proposed operating arrangements of Smart Nigeria Initiative. It is intended for CIE Nigeria, prospective state and institutional leads, delivery partners and funders preparing practical programmes under the national umbrella.</w:t>
      </w:r>
    </w:p>
    <w:p>
      <w:r>
        <w:t>The immediate priority is to confirm coordination responsibilities and develop a bounded, supported education pathway through SENI. Expansion into other sectors and states should follow evidence of need, readiness, resources and accountable ownership.</w:t>
      </w:r>
    </w:p>
    <w:p>
      <w:r>
        <w:t>Coordination context  CIE Nigeria</w:t>
      </w:r>
    </w:p>
    <w:p>
      <w:r>
        <w:t>National umbrella  sni.ng</w:t>
        <w:br/>
        <w:t>Education initiative  education.sni.ng</w:t>
      </w:r>
    </w:p>
    <w:p>
      <w:r>
        <w:t>Status  Framework for programme planning and adoption. Proposed governance, funding and implementation arrangements require confirmation before commitments or activation.</w:t>
      </w:r>
    </w:p>
    <w:p>
      <w:r>
        <w:br w:type="page"/>
      </w:r>
    </w:p>
    <w:p>
      <w:pPr>
        <w:pStyle w:val="Title"/>
      </w:pPr>
      <w:r>
        <w:t>Contents</w:t>
      </w:r>
    </w:p>
    <w:p>
      <w:r>
        <w:t>01   Executive concept note</w:t>
      </w:r>
    </w:p>
    <w:p>
      <w:r>
        <w:t>02   Rationale and strategic direction</w:t>
      </w:r>
    </w:p>
    <w:p>
      <w:r>
        <w:t>03   Programme architecture and identity</w:t>
      </w:r>
    </w:p>
    <w:p>
      <w:r>
        <w:t>04   Focus areas and programme development</w:t>
      </w:r>
    </w:p>
    <w:p>
      <w:r>
        <w:t>05   Governance and decision responsibilities</w:t>
      </w:r>
    </w:p>
    <w:p>
      <w:r>
        <w:t>06   Delivery model and state participation</w:t>
      </w:r>
    </w:p>
    <w:p>
      <w:r>
        <w:t>07   Partnership and resource model</w:t>
      </w:r>
    </w:p>
    <w:p>
      <w:r>
        <w:t>08   Digital architecture and responsible information</w:t>
      </w:r>
    </w:p>
    <w:p>
      <w:r>
        <w:t>09   Inclusion and community participation</w:t>
      </w:r>
    </w:p>
    <w:p>
      <w:r>
        <w:t>10   Results and learning framework</w:t>
      </w:r>
    </w:p>
    <w:p>
      <w:r>
        <w:t>11   Implementation roadmap and risks</w:t>
      </w:r>
    </w:p>
    <w:p>
      <w:r>
        <w:t>12   Operating templates and immediate actions</w:t>
      </w:r>
    </w:p>
    <w:p>
      <w:r>
        <w:t>The first section provides the concept note. The remaining sections develop the strategy, governance and implementation framework. Operational templates in the final section support the transition from interest to a reviewable programme plan.</w:t>
      </w:r>
    </w:p>
    <w:p>
      <w:r>
        <w:br w:type="page"/>
      </w:r>
    </w:p>
    <w:p>
      <w:pPr>
        <w:pStyle w:val="Heading1"/>
      </w:pPr>
      <w:r>
        <w:t>01 Executive concept note</w:t>
      </w:r>
    </w:p>
    <w:p>
      <w:pPr>
        <w:pStyle w:val="Heading2"/>
      </w:pPr>
      <w:r>
        <w:t>Purpose and proposition</w:t>
      </w:r>
    </w:p>
    <w:p>
      <w:r>
        <w:t>Smart Nigeria Initiative (SNI) is the national umbrella for a coordinated portfolio of smart sector and state initiatives. Coordinated through CIE Nigeria, it connects innovation, technology, institutional capability and partnerships to improve everyday services, expand productive opportunities and strengthen communities. Its purpose is to organise useful delivery around real needs rather than promote technology as an end in itself.</w:t>
      </w:r>
    </w:p>
    <w:p>
      <w:pPr>
        <w:pStyle w:val="Heading2"/>
      </w:pPr>
      <w:r>
        <w:t>The delivery proposition</w:t>
      </w:r>
    </w:p>
    <w:p>
      <w:r>
        <w:t>SNI provides a common framework for programme design, partnership development, quality expectations and learning across locations. Sector initiatives translate that framework into specialised services. State initiatives adapt priorities to local institutions and communities. Implementation begins with a defined need, an accountable lead, a costed plan and a supported first cohort.</w:t>
      </w:r>
    </w:p>
    <w:p>
      <w:pPr>
        <w:pStyle w:val="Heading2"/>
      </w:pPr>
      <w:r>
        <w:t>The initial foundation</w:t>
      </w:r>
    </w:p>
    <w:p>
      <w:r>
        <w:t>Smart Education Nigeria Initiative (SENI) is SNI’s education initiative and has a public website at education.sni.ng. Smart Benue Initiative provides the state reference, with Benue Smart Education Programme (BenSEP) as its education programme. These relationships establish the intended structure; they do not imply nationwide activation, government endorsement or verified impact at scale.</w:t>
      </w:r>
    </w:p>
    <w:p>
      <w:pPr>
        <w:pStyle w:val="Heading2"/>
      </w:pPr>
      <w:r>
        <w:t>The immediate decision</w:t>
      </w:r>
    </w:p>
    <w:p>
      <w:r>
        <w:t>Adopt the umbrella structure and programme development process; confirm coordination responsibilities; select a bounded education-led demonstration pathway; and establish the evidence, resource and support requirements for activation. This framework proposes operating arrangements. Appointments, funding and delivery commitments require separate confirmation.</w:t>
      </w:r>
    </w:p>
    <w:p>
      <w:r>
        <w:br w:type="page"/>
      </w:r>
    </w:p>
    <w:p>
      <w:pPr>
        <w:pStyle w:val="Heading1"/>
      </w:pPr>
      <w:r>
        <w:t>02 Rationale and strategic direction</w:t>
      </w:r>
    </w:p>
    <w:p>
      <w:pPr>
        <w:pStyle w:val="Heading2"/>
      </w:pPr>
      <w:r>
        <w:t>The problem to address</w:t>
      </w:r>
    </w:p>
    <w:p>
      <w:r>
        <w:t>Institutions and communities can face disconnected information, uneven access to tools, limited implementation support and unclear responsibility for maintaining services. Purchasing equipment or launching a portal does not by itself resolve these problems. SNI’s programme design should test the actual barrier, understand existing services and define the change that users need.</w:t>
      </w:r>
    </w:p>
    <w:p>
      <w:pPr>
        <w:pStyle w:val="Heading2"/>
      </w:pPr>
      <w:r>
        <w:t>Vision</w:t>
      </w:r>
    </w:p>
    <w:p>
      <w:r>
        <w:t>A connected, capable and inclusive Nigeria in which people, institutions and communities can use dependable services and opportunities to improve quality of life and participate in economic development.</w:t>
      </w:r>
    </w:p>
    <w:p>
      <w:pPr>
        <w:pStyle w:val="Heading2"/>
      </w:pPr>
      <w:r>
        <w:t>Mission</w:t>
      </w:r>
    </w:p>
    <w:p>
      <w:r>
        <w:t>Coordinate locally relevant smart initiatives that combine institutional capability, useful technology, practical support and accountable partnerships. Build from demonstrated needs and use evidence to decide what to improve, sustain or expand.</w:t>
      </w:r>
    </w:p>
    <w:p>
      <w:pPr>
        <w:pStyle w:val="Heading2"/>
      </w:pPr>
      <w:r>
        <w:t>Strategic objectives</w:t>
      </w:r>
    </w:p>
    <w:p>
      <w:r>
        <w:t>Improve access to useful services; strengthen institutional and workforce capability; connect skills, enterprise and economic opportunity; support responsible digital transformation; develop viable national and state partnerships; and make results visible through proportionate monitoring and review.</w:t>
      </w:r>
    </w:p>
    <w:p>
      <w:pPr>
        <w:pStyle w:val="Heading2"/>
      </w:pPr>
      <w:r>
        <w:t>Guiding principles</w:t>
      </w:r>
    </w:p>
    <w:p>
      <w:r>
        <w:t>People and service needs come first. Local ownership must be explicit. Inclusion, accessibility and affordability shape design. Information access follows defined roles. Costs and support extend beyond launch. Public claims reflect verified evidence. Programmes proceed at the scale that responsible teams can support.</w:t>
      </w:r>
    </w:p>
    <w:p>
      <w:r>
        <w:br w:type="page"/>
      </w:r>
    </w:p>
    <w:p>
      <w:pPr>
        <w:pStyle w:val="Heading1"/>
      </w:pPr>
      <w:r>
        <w:t>03 Programme architecture and identity</w:t>
      </w:r>
    </w:p>
    <w:p>
      <w:pPr>
        <w:pStyle w:val="Heading2"/>
      </w:pPr>
      <w:r>
        <w:t>The national umbrella</w:t>
      </w:r>
    </w:p>
    <w:p>
      <w:r>
        <w:t>SNI owns the shared public narrative, programme architecture and proposed coordination framework. It should maintain an initiative register, common participation guidance and a clear distinction between a focus area, a programme being designed and a service in active use. The umbrella is not a replacement for the operational identity of each initiative.</w:t>
      </w:r>
    </w:p>
    <w:p>
      <w:pPr>
        <w:pStyle w:val="Heading2"/>
      </w:pPr>
      <w:r>
        <w:t>National sector initiatives</w:t>
      </w:r>
    </w:p>
    <w:p>
      <w:r>
        <w:t>SENI translates SNI’s direction into education-specific objectives, eight programme components, institutional preparation and participation pathways. Other national sector initiatives should be named and launched only after their scope, ownership, resources and support are defined. A website focus area is not evidence of an operational programme.</w:t>
      </w:r>
    </w:p>
    <w:p>
      <w:pPr>
        <w:pStyle w:val="Heading2"/>
      </w:pPr>
      <w:r>
        <w:t>State initiatives and sector alignment</w:t>
      </w:r>
    </w:p>
    <w:p>
      <w:r>
        <w:t>Smart Benue Initiative is the Benue state reference. BenSEP sits within Smart Benue and provides the education pathway in Benue. Its relationship with SENI connects education standards and learning across the national and state levels while retaining the state programme’s local identity and responsibilities. Smart Benue’s existing relationship with Innovate Benue and CIE Benue remains visible.</w:t>
      </w:r>
    </w:p>
    <w:p>
      <w:pPr>
        <w:pStyle w:val="Heading2"/>
      </w:pPr>
      <w:r>
        <w:t>Brand and web structure</w:t>
      </w:r>
    </w:p>
    <w:p>
      <w:r>
        <w:t>Use sni.ng for the umbrella and education.sni.ng for SENI. Future sector subdomains should be reserved through an agreed register rather than published prematurely. SENI should display “An initiative of Smart Nigeria Initiative” with a link to SNI. State programme websites should explain their local umbrella and relevant sector relationship without obscuring either.</w:t>
      </w:r>
    </w:p>
    <w:p>
      <w:pPr>
        <w:pStyle w:val="Heading2"/>
      </w:pPr>
      <w:r>
        <w:t>Scope of authority</w:t>
      </w:r>
    </w:p>
    <w:p>
      <w:r>
        <w:t>Programme coordination does not confer regulatory powers or authority over public institutions. Government, institutional and commercial responsibilities remain with the relevant authorised bodies. Public language must distinguish a proposed collaboration from an approved agreement and a platform capability from a contracted service.</w:t>
      </w:r>
    </w:p>
    <w:p>
      <w:r>
        <w:br w:type="page"/>
      </w:r>
    </w:p>
    <w:p>
      <w:pPr>
        <w:pStyle w:val="Heading1"/>
      </w:pPr>
      <w:r>
        <w:t>04 Focus areas and programme development</w:t>
      </w:r>
    </w:p>
    <w:p>
      <w:pPr>
        <w:pStyle w:val="Heading2"/>
      </w:pPr>
      <w:r>
        <w:t>Nine areas of focus</w:t>
      </w:r>
    </w:p>
    <w:p>
      <w:r>
        <w:t>SNI’s proposed portfolio covers education and human capital; agriculture and food security; health and public wellbeing; employment and economic development; public safety and security; transport and logistics; cities and communities; government and digital transformation; and innovation and enterprise development.</w:t>
      </w:r>
    </w:p>
    <w:p>
      <w:pPr>
        <w:pStyle w:val="Heading2"/>
      </w:pPr>
      <w:r>
        <w:t>Education as the initial national pathway</w:t>
      </w:r>
    </w:p>
    <w:p>
      <w:r>
        <w:t>SENI provides an existing framework and public information base from which to develop a bounded first cohort. Its eight components are school management systems, educator development, virtual academies and blended learning, digital education resources, teacher laptops, family device access, school computer laboratories, and infrastructure and technical support. Activation remains subject to institutional agreements and readiness.</w:t>
      </w:r>
    </w:p>
    <w:p>
      <w:pPr>
        <w:pStyle w:val="Heading2"/>
      </w:pPr>
      <w:r>
        <w:t>Developing the other sectors</w:t>
      </w:r>
    </w:p>
    <w:p>
      <w:r>
        <w:t>Each proposed area needs a discovery brief that identifies the service problem, beneficiary group, responsible institutions, current alternatives and realistic delivery options. Health and public safety proposals require appropriately qualified oversight and clearly defined operating boundaries. SNI should not announce clinical, emergency or public-authority services before the responsible arrangements exist.</w:t>
      </w:r>
    </w:p>
    <w:p>
      <w:pPr>
        <w:pStyle w:val="Heading2"/>
      </w:pPr>
      <w:r>
        <w:t>Programme admission criteria</w:t>
      </w:r>
    </w:p>
    <w:p>
      <w:r>
        <w:t>A candidate should show a specific user need, an accountable lead, an achievable first use case, an inclusion plan, realistic full-life costs, suitable information handling and a measurable review point. Reject or revise proposals that duplicate adequate existing services, lack support ownership, depend on uncommitted resources or cannot demonstrate a credible benefit.</w:t>
      </w:r>
    </w:p>
    <w:p>
      <w:pPr>
        <w:pStyle w:val="Heading2"/>
      </w:pPr>
      <w:r>
        <w:t>Programme status register</w:t>
      </w:r>
    </w:p>
    <w:p>
      <w:r>
        <w:t>Use consistent public stages: proposed focus area; programme design; preparation with an agreed cohort; active delivery; and reviewed for expansion. Record the evidence and approving lead for each change. Archive suspended initiatives with a clear explanation and continuation route where applicable.</w:t>
      </w:r>
    </w:p>
    <w:p>
      <w:r>
        <w:br w:type="page"/>
      </w:r>
    </w:p>
    <w:p>
      <w:pPr>
        <w:pStyle w:val="Heading1"/>
      </w:pPr>
      <w:r>
        <w:t>05 Governance and decision responsibilities</w:t>
      </w:r>
    </w:p>
    <w:p>
      <w:pPr>
        <w:pStyle w:val="Heading2"/>
      </w:pPr>
      <w:r>
        <w:t>Coordination through CIE Nigeria</w:t>
      </w:r>
    </w:p>
    <w:p>
      <w:r>
        <w:t>The proposed SNI coordination function maintains the framework, convenes prospective partners, records programme decisions and supports learning across sectors and states. It should identify a responsible programme lead, an operations contact and an accountable route for escalation before any cohort begins. Named appointments should be published only after confirmation.</w:t>
      </w:r>
    </w:p>
    <w:p>
      <w:pPr>
        <w:pStyle w:val="Heading2"/>
      </w:pPr>
      <w:r>
        <w:t>Proposed steering and assurance arrangements</w:t>
      </w:r>
    </w:p>
    <w:p>
      <w:r>
        <w:t>A steering function should review priorities, approve bounded programme plans and resolve matters that cross sector or state responsibilities. Sector expertise should inform technical and service decisions. Assurance should cover evidence quality, inclusion, safeguarding, information handling and financial accountability. Membership, delegated authority and meeting frequency must be adopted in a written governance charter.</w:t>
      </w:r>
    </w:p>
    <w:p>
      <w:pPr>
        <w:pStyle w:val="Heading2"/>
      </w:pPr>
      <w:r>
        <w:t>State and institutional responsibilities</w:t>
      </w:r>
    </w:p>
    <w:p>
      <w:r>
        <w:t>A designated state coordination team translates priorities into local plans and works within its authority. Institutions retain responsibility for their services, staff, records and users. Each implementation plan must identify who decides, who delivers, who funds, who maintains, who reviews and who can pause the service.</w:t>
      </w:r>
    </w:p>
    <w:p>
      <w:pPr>
        <w:pStyle w:val="Heading2"/>
      </w:pPr>
      <w:r>
        <w:t>Decision records and conflicts</w:t>
      </w:r>
    </w:p>
    <w:p>
      <w:r>
        <w:t>Maintain a short decision log showing the issue, options, decision owner, date, conditions and follow-up. Record potential conflicts of interest before selecting suppliers or approving related-party arrangements. Separate programme coordination, commercial delivery and review responsibilities sufficiently to make decisions assessable.</w:t>
      </w:r>
    </w:p>
    <w:p>
      <w:pPr>
        <w:pStyle w:val="Heading2"/>
      </w:pPr>
      <w:r>
        <w:t>Escalation and complaints</w:t>
      </w:r>
    </w:p>
    <w:p>
      <w:r>
        <w:t>Each active programme needs a published contact route, response expectations, incident triage and an accountable escalation owner. Serious safety, safeguarding or information incidents should trigger immediate review and proportionate containment. A partner complaint must be capable of reaching a reviewer who is not the subject of that complaint.</w:t>
      </w:r>
    </w:p>
    <w:p>
      <w:r>
        <w:br w:type="page"/>
      </w:r>
    </w:p>
    <w:p>
      <w:pPr>
        <w:pStyle w:val="Heading1"/>
      </w:pPr>
      <w:r>
        <w:t>06 Delivery model and state participation</w:t>
      </w:r>
    </w:p>
    <w:p>
      <w:pPr>
        <w:pStyle w:val="Heading2"/>
      </w:pPr>
      <w:r>
        <w:t>Discover and agree the need</w:t>
      </w:r>
    </w:p>
    <w:p>
      <w:r>
        <w:t>Begin with a structured discussion involving the users and institutions affected. Record existing processes, baseline conditions, access barriers and the change being sought. Select a representative and manageable first cohort; avoid defining scale solely by the number of locations interested.</w:t>
      </w:r>
    </w:p>
    <w:p>
      <w:pPr>
        <w:pStyle w:val="Heading2"/>
      </w:pPr>
      <w:r>
        <w:t>Prepare the operating plan</w:t>
      </w:r>
    </w:p>
    <w:p>
      <w:r>
        <w:t>Confirm the responsible lead, service scope, institutional permissions, delivery partners, full cost, committed resources, training, support, maintenance and review timetable. Document user journeys and accessibility needs. Define information access and retention before collecting operational data.</w:t>
      </w:r>
    </w:p>
    <w:p>
      <w:pPr>
        <w:pStyle w:val="Heading2"/>
      </w:pPr>
      <w:r>
        <w:t>Demonstrate and activate</w:t>
      </w:r>
    </w:p>
    <w:p>
      <w:r>
        <w:t>Demonstrate the intended workflow with representative users and suitable sample information. Resolve readiness gaps, train responsible staff and verify help routes. Begin only after the agreed readiness conditions are met. Keep a record of unresolved issues and the person responsible for each.</w:t>
      </w:r>
    </w:p>
    <w:p>
      <w:pPr>
        <w:pStyle w:val="Heading2"/>
      </w:pPr>
      <w:r>
        <w:t>Review and improve</w:t>
      </w:r>
    </w:p>
    <w:p>
      <w:r>
        <w:t>Review actual use, service reliability, participant experience, costs and emerging risks against the baseline. Record whether the programme should continue unchanged, improve, pause or expand. Expansion requires evidence that local delivery and continuing support remain viable.</w:t>
      </w:r>
    </w:p>
    <w:p>
      <w:pPr>
        <w:pStyle w:val="Heading2"/>
      </w:pPr>
      <w:r>
        <w:t>Entry routes</w:t>
      </w:r>
    </w:p>
    <w:p>
      <w:r>
        <w:t>States, local institutions, school networks, community organisations, service providers and prospective funders can begin through a relevant expression of interest. Initial discussions do not confer partnership status or create procurement commitments. State-wide arrangements require confirmation by the authorised parties.</w:t>
      </w:r>
    </w:p>
    <w:p>
      <w:r>
        <w:br w:type="page"/>
      </w:r>
    </w:p>
    <w:p>
      <w:pPr>
        <w:pStyle w:val="Heading1"/>
      </w:pPr>
      <w:r>
        <w:t>07 Partnership and resource model</w:t>
      </w:r>
    </w:p>
    <w:p>
      <w:pPr>
        <w:pStyle w:val="Heading2"/>
      </w:pPr>
      <w:r>
        <w:t>Partnership categories</w:t>
      </w:r>
    </w:p>
    <w:p>
      <w:r>
        <w:t>Public institutions can contribute service ownership and authorised coordination; education and research institutions can contribute expertise and evaluation; enterprises can provide defined services; community organisations can support participation; and funders can support agreed access or delivery costs. Contributions must be described concretely rather than assumed from an organisation’s name.</w:t>
      </w:r>
    </w:p>
    <w:p>
      <w:pPr>
        <w:pStyle w:val="Heading2"/>
      </w:pPr>
      <w:r>
        <w:t>From interest to agreement</w:t>
      </w:r>
    </w:p>
    <w:p>
      <w:r>
        <w:t>Review a prospective partner’s relevant experience, capacity, proposed contribution, costs, support commitments and conflicts. Agree the scope, deliverables, acceptance criteria, reporting, information responsibilities, intellectual-property arrangements and exit conditions in the appropriate written instrument before implementation.</w:t>
      </w:r>
    </w:p>
    <w:p>
      <w:pPr>
        <w:pStyle w:val="Heading2"/>
      </w:pPr>
      <w:r>
        <w:t>Funding options</w:t>
      </w:r>
    </w:p>
    <w:p>
      <w:r>
        <w:t>Potential models include institutional budgets, grants, sponsorship, service contracts, responsible access arrangements and co-funded programmes. These are options for evaluation, not committed funding. Assess whether the model leaves essential recurring costs covered and whether participant charges create exclusion or unrealistic obligations.</w:t>
      </w:r>
    </w:p>
    <w:p>
      <w:pPr>
        <w:pStyle w:val="Heading2"/>
      </w:pPr>
      <w:r>
        <w:t>Budget structure</w:t>
      </w:r>
    </w:p>
    <w:p>
      <w:r>
        <w:t>Prepare a cost model covering discovery, configuration, equipment, connectivity, power, training, staffing, support, maintenance, replacement, evaluation and contingency. Show one-time and recurring items separately, identify the payer, and record assumptions behind quantities and prices. Do not publish a national budget before programme scope and quotations support it.</w:t>
      </w:r>
    </w:p>
    <w:p>
      <w:pPr>
        <w:pStyle w:val="Heading2"/>
      </w:pPr>
      <w:r>
        <w:t>Continuity and exit</w:t>
      </w:r>
    </w:p>
    <w:p>
      <w:r>
        <w:t>Agree ownership of equipment, access to records, contract renewal, warranties, service transfer and end-of-service arrangements. Avoid dependence on a single individual’s account or undocumented knowledge. A programme should have a practical continuity plan before expansion.</w:t>
      </w:r>
    </w:p>
    <w:p>
      <w:r>
        <w:br w:type="page"/>
      </w:r>
    </w:p>
    <w:p>
      <w:pPr>
        <w:pStyle w:val="Heading1"/>
      </w:pPr>
      <w:r>
        <w:t>08 Digital architecture and responsible information</w:t>
      </w:r>
    </w:p>
    <w:p>
      <w:pPr>
        <w:pStyle w:val="Heading2"/>
      </w:pPr>
      <w:r>
        <w:t>Separate public information from service delivery</w:t>
      </w:r>
    </w:p>
    <w:p>
      <w:r>
        <w:t>The SNI umbrella website explains the initiative, publishes resources and routes interest. Sector systems provide specialised workflows under their own operating arrangements. Linking to a platform does not create a shared user account, database or integration. Integrations require explicit design and authorisation.</w:t>
      </w:r>
    </w:p>
    <w:p>
      <w:pPr>
        <w:pStyle w:val="Heading2"/>
      </w:pPr>
      <w:r>
        <w:t>Use interoperable and maintainable services</w:t>
      </w:r>
    </w:p>
    <w:p>
      <w:r>
        <w:t>Select services against documented requirements, available support and total cost. Prefer documented data formats and interfaces where appropriate. Record system owners, dependencies, configuration and recovery arrangements. Include accessible alternatives for users with limited connectivity or device access.</w:t>
      </w:r>
    </w:p>
    <w:p>
      <w:pPr>
        <w:pStyle w:val="Heading2"/>
      </w:pPr>
      <w:r>
        <w:t>Information handling</w:t>
      </w:r>
    </w:p>
    <w:p>
      <w:r>
        <w:t>Collect only the information needed for a defined purpose. Identify the responsible organisation and authorised roles, establish retention and deletion arrangements, and provide understandable notices before collection. Do not centralise identifiable records merely because an umbrella reporting function exists. Applicable requirements should be reviewed by qualified advisers for each deployment.</w:t>
      </w:r>
    </w:p>
    <w:p>
      <w:pPr>
        <w:pStyle w:val="Heading2"/>
      </w:pPr>
      <w:r>
        <w:t>Security and service recovery</w:t>
      </w:r>
    </w:p>
    <w:p>
      <w:r>
        <w:t>Before activation, establish account ownership, role-based access, administrator protection, backups, restore checks and incident response contacts. Monitor service availability and record changes. Test recovery of essential workflows, and make clear who can authorise containment or a service pause.</w:t>
      </w:r>
    </w:p>
    <w:p>
      <w:pPr>
        <w:pStyle w:val="Heading2"/>
      </w:pPr>
      <w:r>
        <w:t>Use of automation and artificial intelligence</w:t>
      </w:r>
    </w:p>
    <w:p>
      <w:r>
        <w:t>Evaluate automated features against their intended use, error risks, accessibility and human review needs. Do not use a general-purpose assistant as an unreviewed decision-maker for high-impact services. Any future AI capability should have a defined owner, evaluation process, escalation route and clear user explanation.</w:t>
      </w:r>
    </w:p>
    <w:p>
      <w:r>
        <w:br w:type="page"/>
      </w:r>
    </w:p>
    <w:p>
      <w:pPr>
        <w:pStyle w:val="Heading1"/>
      </w:pPr>
      <w:r>
        <w:t>09 Inclusion and community participation</w:t>
      </w:r>
    </w:p>
    <w:p>
      <w:pPr>
        <w:pStyle w:val="Heading2"/>
      </w:pPr>
      <w:r>
        <w:t>Design with affected users</w:t>
      </w:r>
    </w:p>
    <w:p>
      <w:r>
        <w:t>Include relevant users in discovery and demonstrations, including people who may be excluded by cost, disability, language, location or limited connectivity. Use their feedback to choose delivery formats and support arrangements. Community engagement should influence scope rather than serve only as a launch activity.</w:t>
      </w:r>
    </w:p>
    <w:p>
      <w:pPr>
        <w:pStyle w:val="Heading2"/>
      </w:pPr>
      <w:r>
        <w:t>Practical access</w:t>
      </w:r>
    </w:p>
    <w:p>
      <w:r>
        <w:t>Assess shared access, offline or low-bandwidth options, suitable languages and assisted service routes. Do not make a personal device or paid subscription an assumed requirement for essential participation. State the eligibility and support conditions of any access programme clearly.</w:t>
      </w:r>
    </w:p>
    <w:p>
      <w:pPr>
        <w:pStyle w:val="Heading2"/>
      </w:pPr>
      <w:r>
        <w:t>Safeguarding and supervision</w:t>
      </w:r>
    </w:p>
    <w:p>
      <w:r>
        <w:t>Programmes involving children or vulnerable participants require appropriate supervision, reporting routes and responsible staff. Public stories and images need the appropriate permissions and should not expose sensitive circumstances. Use illustrative imagery clearly when documentary permissions are unavailable.</w:t>
      </w:r>
    </w:p>
    <w:p>
      <w:pPr>
        <w:pStyle w:val="Heading2"/>
      </w:pPr>
      <w:r>
        <w:t>Feedback and correction</w:t>
      </w:r>
    </w:p>
    <w:p>
      <w:r>
        <w:t>Offer a route for users to report incorrect information, accessibility barriers or poor service. Record feedback themes and actions without publishing personal details. Correct public claims promptly when evidence changes, and show the scope and date of substantive updates.</w:t>
      </w:r>
    </w:p>
    <w:p>
      <w:r>
        <w:br w:type="page"/>
      </w:r>
    </w:p>
    <w:p>
      <w:pPr>
        <w:pStyle w:val="Heading1"/>
      </w:pPr>
      <w:r>
        <w:t>10 Results and learning framework</w:t>
      </w:r>
    </w:p>
    <w:p>
      <w:pPr>
        <w:pStyle w:val="Heading2"/>
      </w:pPr>
      <w:r>
        <w:t>Theory of change</w:t>
      </w:r>
    </w:p>
    <w:p>
      <w:r>
        <w:t>If responsible institutions agree priority needs, prepare their teams and infrastructure, and deliver supported services with clear accountability, users should be better able to complete relevant tasks and access opportunities. Sustained improvements depend on continued use, affordability, service reliability and institutional ownership. These assumptions must be tested rather than treated as achieved results.</w:t>
      </w:r>
    </w:p>
    <w:p>
      <w:pPr>
        <w:pStyle w:val="Heading2"/>
      </w:pPr>
      <w:r>
        <w:t>Measurement approach</w:t>
      </w:r>
    </w:p>
    <w:p>
      <w:r>
        <w:t>Establish a baseline for each cohort and agree a small set of indicators before activation. Define the numerator, denominator, reporting period, data source and collection owner. Combine operational measures with user feedback and evidence of the intended service improvement. Avoid counting registrations as sustained use or equipment distribution as learning improvement.</w:t>
      </w:r>
    </w:p>
    <w:p>
      <w:pPr>
        <w:pStyle w:val="Heading2"/>
      </w:pPr>
      <w:r>
        <w:t>Portfolio reporting</w:t>
      </w:r>
    </w:p>
    <w:p>
      <w:r>
        <w:t>Report programme stage, participating cohort, active use, reliability, unresolved support issues, access barriers, expenditure against plan and progress against agreed outcomes. Use aggregate information for public reporting. State limitations and distinguish measured outcomes from estimates or future targets.</w:t>
      </w:r>
    </w:p>
    <w:p>
      <w:pPr>
        <w:pStyle w:val="Heading2"/>
      </w:pPr>
      <w:r>
        <w:t>Review cycle</w:t>
      </w:r>
    </w:p>
    <w:p>
      <w:r>
        <w:t>Programme teams should conduct routine operational reviews at a frequency suited to the service. The proposed steering function should review the portfolio quarterly once delivery begins, with deeper evaluation after a meaningful operating or learning period. Confirm the cycle in each implementation plan.</w:t>
      </w:r>
    </w:p>
    <w:p>
      <w:pPr>
        <w:pStyle w:val="Heading2"/>
      </w:pPr>
      <w:r>
        <w:t>Decisions from evidence</w:t>
      </w:r>
    </w:p>
    <w:p>
      <w:r>
        <w:t>Review findings should lead to specific changes with an owner and due date. Expansion should require acceptable reliability, manageable support demand, evidence of useful adoption and confirmed resources. Where these conditions are absent, strengthen the existing cohort or pause the affected service.</w:t>
      </w:r>
    </w:p>
    <w:p>
      <w:r>
        <w:br w:type="page"/>
      </w:r>
    </w:p>
    <w:p>
      <w:pPr>
        <w:pStyle w:val="Heading1"/>
      </w:pPr>
      <w:r>
        <w:t>11 Implementation roadmap and risks</w:t>
      </w:r>
    </w:p>
    <w:p>
      <w:pPr>
        <w:pStyle w:val="Heading2"/>
      </w:pPr>
      <w:r>
        <w:t>First thirty days after adoption</w:t>
      </w:r>
    </w:p>
    <w:p>
      <w:r>
        <w:t>Confirm the coordination lead and governance charter; approve the initiative register and website hierarchy; verify public contacts; and select the initial education-led use case. Review available institutional interest and complete the discovery brief. These are proposed planning windows measured from adoption, not announced event dates.</w:t>
      </w:r>
    </w:p>
    <w:p>
      <w:pPr>
        <w:pStyle w:val="Heading2"/>
      </w:pPr>
      <w:r>
        <w:t>Days thirty one to ninety</w:t>
      </w:r>
    </w:p>
    <w:p>
      <w:r>
        <w:t>Complete the baseline and readiness assessment for the selected cohort. Agree delivery responsibilities, costs, funding, support and information arrangements. Demonstrate the workflow, resolve material gaps and record the activation decision. Publish dates only after the participating organisations confirm them.</w:t>
      </w:r>
    </w:p>
    <w:p>
      <w:pPr>
        <w:pStyle w:val="Heading2"/>
      </w:pPr>
      <w:r>
        <w:t>Months four to six</w:t>
      </w:r>
    </w:p>
    <w:p>
      <w:r>
        <w:t>Support the first cohort, review actual use and service quality, and document improvements. Prepare the next-sector discovery briefs only where accountable leads and resources are available. Review whether the education pathway is ready for carefully bounded expansion.</w:t>
      </w:r>
    </w:p>
    <w:p>
      <w:pPr>
        <w:pStyle w:val="Heading2"/>
      </w:pPr>
      <w:r>
        <w:t>Months seven to twelve</w:t>
      </w:r>
    </w:p>
    <w:p>
      <w:r>
        <w:t>Consolidate evidence, review sustainability and assess additional state or sector participation. Publish a portfolio update with verified scope and limitations. Revise the framework based on delivery experience rather than expanding only to meet a headline target.</w:t>
      </w:r>
    </w:p>
    <w:p>
      <w:pPr>
        <w:pStyle w:val="Heading2"/>
      </w:pPr>
      <w:r>
        <w:t>Principal risks and responses</w:t>
      </w:r>
    </w:p>
    <w:p>
      <w:r>
        <w:t>Unclear authority requires explicit written responsibilities. Unfunded recurring costs require a full-life budget and committed payer. Low adoption requires user involvement and ongoing support. Exclusion requires access alternatives and feedback. Service dependency requires continuity and exit plans. Misleading public claims require evidence review. Information or safeguarding incidents require accountable escalation and a tested response process.</w:t>
      </w:r>
    </w:p>
    <w:p>
      <w:r>
        <w:br w:type="page"/>
      </w:r>
    </w:p>
    <w:p>
      <w:pPr>
        <w:pStyle w:val="Heading1"/>
      </w:pPr>
      <w:r>
        <w:t>12 Operating templates and immediate actions</w:t>
      </w:r>
    </w:p>
    <w:p>
      <w:pPr>
        <w:pStyle w:val="Heading2"/>
      </w:pPr>
      <w:r>
        <w:t>Programme brief</w:t>
      </w:r>
    </w:p>
    <w:p>
      <w:r>
        <w:t>Record the programme name and status; problem and users; accountable institution; first cohort; intended outcomes; services and exclusions; baseline; responsibilities; costs and funding; readiness conditions; support arrangements; information requirements; risks; review date; and decision requested. Keep the brief proportionate and link to supporting evidence.</w:t>
      </w:r>
    </w:p>
    <w:p>
      <w:pPr>
        <w:pStyle w:val="Heading2"/>
      </w:pPr>
      <w:r>
        <w:t>State participation brief</w:t>
      </w:r>
    </w:p>
    <w:p>
      <w:r>
        <w:t>Record the state and lead organisation; authority to coordinate; priority sectors; participating institutions; existing services; access and infrastructure constraints; proposed local team; contribution and funding options; first use case; required approvals; and the next discussion. Do not collect individual learner, patient or beneficiary records at this introductory stage.</w:t>
      </w:r>
    </w:p>
    <w:p>
      <w:pPr>
        <w:pStyle w:val="Heading2"/>
      </w:pPr>
      <w:r>
        <w:t>Activation decision</w:t>
      </w:r>
    </w:p>
    <w:p>
      <w:r>
        <w:t>Confirm that scope is agreed, responsible leads are named, resources are committed, users are prepared, support is available, information arrangements are reviewed and the baseline is recorded. Record outstanding conditions and a go, revise or pause decision. Assign the authority for subsequent changes.</w:t>
      </w:r>
    </w:p>
    <w:p>
      <w:pPr>
        <w:pStyle w:val="Heading2"/>
      </w:pPr>
      <w:r>
        <w:t>Public communication checklist</w:t>
      </w:r>
    </w:p>
    <w:p>
      <w:r>
        <w:t>Verify names, programme stage, dates, locations, partner permissions and contact routes. Distinguish confirmed activities from proposals. Link each news item to an accountable source. Event listings require confirmed dates and a real participation route. Correct or archive outdated listings promptly.</w:t>
      </w:r>
    </w:p>
    <w:p>
      <w:pPr>
        <w:pStyle w:val="Heading2"/>
      </w:pPr>
      <w:r>
        <w:t>Next actions</w:t>
      </w:r>
    </w:p>
    <w:p>
      <w:r>
        <w:t>Confirm the proposed operating arrangements with the coordination team, identify official contact channels and select the first supported cohort. Use the umbrella website and downloadable framework to support these discussions. Publish new sector or state commitments only as they are formally established.</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SNI Framework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6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Calibri" w:hAnsi="Calibr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280"/>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Nigeria Initiative Concept Note and Comprehensive Framework</dc:title>
  <dc:subject>National umbrella and sector and state implementation framework</dc:subject>
  <dc:creator>CIE Nigeria</dc:creator>
  <cp:keywords/>
  <dc:description>generated by python-docx</dc:description>
  <cp:lastModifiedBy/>
  <cp:revision>1</cp:revision>
  <dcterms:created xsi:type="dcterms:W3CDTF">2013-12-23T23:15:00Z</dcterms:created>
  <dcterms:modified xsi:type="dcterms:W3CDTF">2013-12-23T23:15:00Z</dcterms:modified>
  <cp:category/>
</cp:coreProperties>
</file>